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120" w:before="120" w:line="240" w:lineRule="auto"/>
        <w:ind w:left="0" w:right="0" w:firstLine="0"/>
        <w:jc w:val="left"/>
        <w:rPr>
          <w:rFonts w:ascii="Arial" w:cs="Arial" w:eastAsia="Arial" w:hAnsi="Arial"/>
          <w:b w:val="1"/>
          <w:bCs w:val="1"/>
          <w:i w:val="0"/>
          <w:iCs w:val="0"/>
          <w:smallCaps w:val="0"/>
          <w:strike w:val="0"/>
          <w:color w:val="000000"/>
          <w:sz w:val="36"/>
          <w:szCs w:val="3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Joint Schedule 7 (Financial Difficulties)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bookmarkStart w:colFirst="0" w:colLast="0" w:name="_labt8lq832qt" w:id="0"/>
      <w:bookmarkEnd w:id="0"/>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0" w:right="0" w:firstLine="0"/>
        <w:jc w:val="left"/>
        <w:rPr>
          <w:rFonts w:ascii="Arial" w:cs="Arial" w:eastAsia="Arial" w:hAnsi="Arial"/>
          <w:b w:val="1"/>
          <w:bCs w:val="1"/>
          <w:i w:val="1"/>
          <w:iCs w:val="1"/>
          <w:smallCaps w:val="0"/>
          <w:strike w:val="0"/>
          <w:color w:val="000000"/>
          <w:sz w:val="36"/>
          <w:szCs w:val="36"/>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[Guidance: This Schedule provides CCS and the Buyer with the option of using Credit Ratings and/or Financial Indicators for the purposes of the Financial Distress Provisions. Buyers may use any combination of these indicators to suit their own requirements subject to the guidance below.]</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426"/>
        </w:tabs>
        <w:spacing w:after="120" w:before="120" w:line="240" w:lineRule="auto"/>
        <w:ind w:left="426" w:right="0" w:hanging="426"/>
        <w:jc w:val="left"/>
        <w:rPr>
          <w:shd w:fill="auto" w:val="clear"/>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this Schedule, the following definitions shall apply:</w:t>
      </w:r>
    </w:p>
    <w:tbl>
      <w:tblPr>
        <w:tblStyle w:val="Table1"/>
        <w:tblW w:w="8080.0" w:type="dxa"/>
        <w:jc w:val="left"/>
        <w:tblInd w:w="1134.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261"/>
        <w:gridCol w:w="4819"/>
        <w:tblGridChange w:id="0">
          <w:tblGrid>
            <w:gridCol w:w="3261"/>
            <w:gridCol w:w="4819"/>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“Applicable Financial Indicators”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0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1"/>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financial indicators from Paragraph 5.1</w:t>
            </w:r>
            <w:r w:rsidDel="00000000" w:rsidR="00000000" w:rsidRPr="00000000">
              <w:rPr>
                <w:rFonts w:ascii="Arial" w:cs="Arial" w:eastAsia="Arial" w:hAnsi="Arial"/>
                <w:b w:val="0"/>
                <w:bCs w:val="0"/>
                <w:i w:val="0"/>
                <w:iCs w:val="0"/>
                <w:smallCaps w:val="1"/>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of this Schedule which are to apply to the Monitored Suppliers as set out in Paragraph 5.2 of this Schedule;</w:t>
            </w:r>
            <w:r w:rsidDel="00000000" w:rsidR="00000000" w:rsidRPr="00000000">
              <w:rPr>
                <w:rtl w:val="0"/>
              </w:rPr>
            </w:r>
          </w:p>
        </w:tc>
      </w:tr>
      <w:tr>
        <w:trPr>
          <w:cantSplit w:val="0"/>
          <w:tblHeader w:val="0"/>
        </w:trPr>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“Authorised Financial Representative”</w:t>
            </w:r>
          </w:p>
        </w:tc>
        <w:tc>
          <w:tcPr/>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statutory director of the Supplier or a sufficiently senior member of the Supplier’s management team who has the authority to act on behalf of the Supplier in relation to financial matters;</w:t>
            </w:r>
          </w:p>
        </w:tc>
      </w:tr>
      <w:tr>
        <w:trPr>
          <w:cantSplit w:val="0"/>
          <w:tblHeader w:val="0"/>
        </w:trPr>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644"/>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“Board”</w:t>
            </w:r>
          </w:p>
        </w:tc>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Supplier’s board of directors;</w:t>
            </w:r>
          </w:p>
        </w:tc>
      </w:tr>
      <w:tr>
        <w:trPr>
          <w:cantSplit w:val="0"/>
          <w:tblHeader w:val="0"/>
        </w:trPr>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“Board Confirmation”</w:t>
            </w:r>
          </w:p>
        </w:tc>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written confirmation from the Board in accordance with Paragraph 8 of this Schedule;</w:t>
            </w:r>
          </w:p>
        </w:tc>
      </w:tr>
      <w:tr>
        <w:trPr>
          <w:cantSplit w:val="0"/>
          <w:tblHeader w:val="0"/>
        </w:trPr>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“Cabinet Office Markets and Suppliers Team”</w:t>
            </w:r>
          </w:p>
        </w:tc>
        <w:tc>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“Credit Rating Threshold”</w:t>
            </w:r>
          </w:p>
        </w:tc>
        <w:tc>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minimum credit rating level for each entity in the FDE Group as set out in Annex 1 to this Schedule;</w:t>
            </w:r>
          </w:p>
        </w:tc>
      </w:tr>
      <w:tr>
        <w:trPr>
          <w:cantSplit w:val="0"/>
          <w:tblHeader w:val="0"/>
        </w:trPr>
        <w:tc>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644"/>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“FDE Group”</w:t>
            </w:r>
          </w:p>
        </w:tc>
        <w:tc>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[Supplier, Key Sub-contractors, [the Guarantor] and the [Monitored Suppliers]];</w:t>
            </w:r>
            <w:r w:rsidDel="00000000" w:rsidR="00000000" w:rsidRPr="00000000">
              <w:rPr>
                <w:rtl w:val="0"/>
              </w:rPr>
            </w:r>
          </w:p>
        </w:tc>
      </w:tr>
      <w:tr>
        <w:trPr>
          <w:cantSplit w:val="0"/>
          <w:tblHeader w:val="0"/>
        </w:trPr>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“Financial Distress Event”</w:t>
            </w:r>
          </w:p>
        </w:tc>
        <w:tc>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of the events listed in Paragraph 3.1 of this Schedule;</w:t>
            </w:r>
          </w:p>
        </w:tc>
      </w:tr>
      <w:tr>
        <w:trPr>
          <w:cantSplit w:val="0"/>
          <w:tblHeader w:val="0"/>
        </w:trPr>
        <w:tc>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“Financial Distress Remediation Plan”</w:t>
            </w:r>
          </w:p>
        </w:tc>
        <w:tc>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plan setting out how the Supplier will ensure the continued performance and delivery of the Deliverables in accordance with the Contract in the event that a Financial Distress Event occurs;</w:t>
            </w:r>
          </w:p>
        </w:tc>
      </w:tr>
      <w:tr>
        <w:trPr>
          <w:cantSplit w:val="0"/>
          <w:tblHeader w:val="0"/>
        </w:trPr>
        <w:tc>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bookmarkStart w:colFirst="0" w:colLast="0" w:name="_v3yy9x16db5h" w:id="1"/>
            <w:bookmarkEnd w:id="1"/>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“Financial Indicators”</w:t>
            </w:r>
          </w:p>
        </w:tc>
        <w:tc>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respect of the Supplier, Key Sub-contractors and the Guarantor, means each of the financial indicators set out at Paragraph 5.1 of this Schedule and in respect of each Monitored Supplier, means those Applicable Financial Indicators;</w:t>
            </w:r>
          </w:p>
        </w:tc>
      </w:tr>
      <w:tr>
        <w:trPr>
          <w:cantSplit w:val="0"/>
          <w:tblHeader w:val="0"/>
        </w:trPr>
        <w:tc>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“Financial Target Thresholds”</w:t>
            </w:r>
          </w:p>
        </w:tc>
        <w:tc>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target thresholds for each of the Financial Indicators set out at Paragraph 5.1 of this Schedule;</w:t>
            </w:r>
          </w:p>
        </w:tc>
      </w:tr>
      <w:tr>
        <w:trPr>
          <w:cantSplit w:val="0"/>
          <w:tblHeader w:val="0"/>
        </w:trPr>
        <w:tc>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“Monitored Suppliers”</w:t>
            </w:r>
          </w:p>
        </w:tc>
        <w:tc>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those entities specified at Paragraph 5.2 of this Schedule;</w:t>
            </w:r>
          </w:p>
        </w:tc>
      </w:tr>
      <w:tr>
        <w:trPr>
          <w:cantSplit w:val="0"/>
          <w:tblHeader w:val="0"/>
        </w:trPr>
        <w:tc>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644"/>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“Rating Agencies”</w:t>
            </w:r>
          </w:p>
        </w:tc>
        <w:tc>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rating agencies listed in Annex 1 of this Schedule; and</w:t>
            </w:r>
          </w:p>
        </w:tc>
      </w:tr>
      <w:tr>
        <w:trPr>
          <w:cantSplit w:val="0"/>
          <w:tblHeader w:val="0"/>
        </w:trPr>
        <w:tc>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644"/>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“Strategic Supplier”</w:t>
            </w:r>
          </w:p>
        </w:tc>
        <w:tc>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those suppliers to government listed at </w:t>
            </w:r>
            <w:hyperlink r:id="rId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https://www.gov.uk/government/publications/strategic-suppliers</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bl>
    <w:p w:rsidR="00000000" w:rsidDel="00000000" w:rsidP="00000000" w:rsidRDefault="00000000" w:rsidRPr="00000000" w14:paraId="0000002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Parties shall comply with the provisions of this Schedule in relation to the assessment of the financial standing of the FDE Group and the consequences of a change to that financial standing.</w:t>
      </w:r>
    </w:p>
    <w:p w:rsidR="00000000" w:rsidDel="00000000" w:rsidP="00000000" w:rsidRDefault="00000000" w:rsidRPr="00000000" w14:paraId="0000002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terms of this Schedule shall survive: </w:t>
      </w:r>
    </w:p>
    <w:p w:rsidR="00000000" w:rsidDel="00000000" w:rsidP="00000000" w:rsidRDefault="00000000" w:rsidRPr="00000000" w14:paraId="0000002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000000" w:rsidDel="00000000" w:rsidP="00000000" w:rsidRDefault="00000000" w:rsidRPr="00000000" w14:paraId="0000002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under the Call-Off Contract until the termination or expiry of the Call-Off Contract.</w:t>
      </w:r>
    </w:p>
    <w:p w:rsidR="00000000" w:rsidDel="00000000" w:rsidP="00000000" w:rsidRDefault="00000000" w:rsidRPr="00000000" w14:paraId="0000002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426"/>
        </w:tabs>
        <w:spacing w:after="120" w:before="120" w:line="240" w:lineRule="auto"/>
        <w:ind w:left="426" w:right="0" w:hanging="426"/>
        <w:jc w:val="left"/>
        <w:rPr>
          <w:shd w:fill="auto" w:val="clear"/>
        </w:rPr>
      </w:pPr>
      <w:bookmarkStart w:colFirst="0" w:colLast="0" w:name="_6l1hu5lgyjli" w:id="2"/>
      <w:bookmarkEnd w:id="2"/>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Warranties and duty to notify</w:t>
      </w:r>
    </w:p>
    <w:p w:rsidR="00000000" w:rsidDel="00000000" w:rsidP="00000000" w:rsidRDefault="00000000" w:rsidRPr="00000000" w14:paraId="0000002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warrants and represents to the Relevant Authority for the benefit of the Relevant Authority that as at the Effective Date:</w:t>
      </w:r>
    </w:p>
    <w:p w:rsidR="00000000" w:rsidDel="00000000" w:rsidP="00000000" w:rsidRDefault="00000000" w:rsidRPr="00000000" w14:paraId="0000002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long term credit ratings issued for each entity in the FDE Group by each of the Rating Agencies are as set out in Annex 2 to this Schedule; and</w:t>
      </w:r>
    </w:p>
    <w:p w:rsidR="00000000" w:rsidDel="00000000" w:rsidP="00000000" w:rsidRDefault="00000000" w:rsidRPr="00000000" w14:paraId="0000002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financial position or, as appropriate, the financial performance of each of the Supplier, Guarantor and Key Sub-contractors satisfies the Financial Target Thresholds.</w:t>
      </w:r>
    </w:p>
    <w:p w:rsidR="00000000" w:rsidDel="00000000" w:rsidP="00000000" w:rsidRDefault="00000000" w:rsidRPr="00000000" w14:paraId="0000002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rsidR="00000000" w:rsidDel="00000000" w:rsidP="00000000" w:rsidRDefault="00000000" w:rsidRPr="00000000" w14:paraId="0000002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2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regularly monitor the credit ratings of each entity in the FDE Group with the Rating Agencies;</w:t>
      </w:r>
    </w:p>
    <w:p w:rsidR="00000000" w:rsidDel="00000000" w:rsidP="00000000" w:rsidRDefault="00000000" w:rsidRPr="00000000" w14:paraId="0000002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both"/>
        <w:rPr/>
      </w:pPr>
      <w:bookmarkStart w:colFirst="0" w:colLast="0" w:name="_dpdpt82w64z" w:id="3"/>
      <w:bookmarkEnd w:id="3"/>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monitor and report on the Financial Indicators for each entity in the FDE Group against the Financial Target Thresholds at least at the frequency set out for each at Paragraph 5.1 (where specified) and in any event, on a regular basis and no less than once a year within one hundred and twenty (120) days after the Accounting Reference Date; and</w:t>
      </w:r>
    </w:p>
    <w:p w:rsidR="00000000" w:rsidDel="00000000" w:rsidP="00000000" w:rsidRDefault="00000000" w:rsidRPr="00000000" w14:paraId="0000002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both"/>
        <w:rPr/>
      </w:pPr>
      <w:bookmarkStart w:colFirst="0" w:colLast="0" w:name="_wt2487g1c2lx" w:id="4"/>
      <w:bookmarkEnd w:id="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3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For the purposes of determining whether a Financial Distress Event has occurred pursuant to the provisions of Paragraph 3.1.1, and for the purposes of determining relief under Paragraph 7.1, the credit rating of an FDE Group entity shall be deemed to have dropped below the applicable Credit Rating Threshold if:</w:t>
      </w:r>
    </w:p>
    <w:p w:rsidR="00000000" w:rsidDel="00000000" w:rsidP="00000000" w:rsidRDefault="00000000" w:rsidRPr="00000000" w14:paraId="0000003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both"/>
        <w:rPr>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of the Rating Agencies have rated that entity at or below the applicable Credit Rating Threshold; or</w:t>
      </w:r>
    </w:p>
    <w:p w:rsidR="00000000" w:rsidDel="00000000" w:rsidP="00000000" w:rsidRDefault="00000000" w:rsidRPr="00000000" w14:paraId="0000003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both"/>
        <w:rPr>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Rating Agency that is specified as holding a Credit Rating for an entity as set out at Annex 2 of this Schedule ceases to hold a Credit Rating for that entity.</w:t>
      </w:r>
    </w:p>
    <w:p w:rsidR="00000000" w:rsidDel="00000000" w:rsidP="00000000" w:rsidRDefault="00000000" w:rsidRPr="00000000" w14:paraId="0000003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Each report submitted by the Supplier pursuant to Paragraph 2.3.2 shall:</w:t>
      </w:r>
    </w:p>
    <w:p w:rsidR="00000000" w:rsidDel="00000000" w:rsidP="00000000" w:rsidRDefault="00000000" w:rsidRPr="00000000" w14:paraId="0000003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be a single report with separate sections for each of the FDE Group entities;</w:t>
      </w:r>
    </w:p>
    <w:p w:rsidR="00000000" w:rsidDel="00000000" w:rsidP="00000000" w:rsidRDefault="00000000" w:rsidRPr="00000000" w14:paraId="0000003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contain a sufficient level of information to enable the Relevant Authority to verify the calculations that have been made in respect of the Financial Indicators;</w:t>
      </w:r>
    </w:p>
    <w:p w:rsidR="00000000" w:rsidDel="00000000" w:rsidP="00000000" w:rsidRDefault="00000000" w:rsidRPr="00000000" w14:paraId="0000003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include key financial and other supporting information (including any accounts data that has been relied on) as separate annexes;</w:t>
      </w:r>
    </w:p>
    <w:p w:rsidR="00000000" w:rsidDel="00000000" w:rsidP="00000000" w:rsidRDefault="00000000" w:rsidRPr="00000000" w14:paraId="0000003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rsidR="00000000" w:rsidDel="00000000" w:rsidP="00000000" w:rsidRDefault="00000000" w:rsidRPr="00000000" w14:paraId="0000003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include a history of the Financial Indicators reported by the Supplier in graph form to enable the Relevant Authority to easily analyse and assess the trends in financial performance.</w:t>
      </w:r>
    </w:p>
    <w:p w:rsidR="00000000" w:rsidDel="00000000" w:rsidP="00000000" w:rsidRDefault="00000000" w:rsidRPr="00000000" w14:paraId="0000003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426"/>
        </w:tabs>
        <w:spacing w:after="120" w:before="120" w:line="240" w:lineRule="auto"/>
        <w:ind w:left="426" w:right="0" w:hanging="426"/>
        <w:jc w:val="left"/>
        <w:rPr>
          <w:shd w:fill="auto" w:val="clear"/>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Financial Distress events</w:t>
      </w:r>
    </w:p>
    <w:p w:rsidR="00000000" w:rsidDel="00000000" w:rsidP="00000000" w:rsidRDefault="00000000" w:rsidRPr="00000000" w14:paraId="0000003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bookmarkStart w:colFirst="0" w:colLast="0" w:name="_mliml1bfigiy" w:id="5"/>
      <w:bookmarkEnd w:id="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following shall be Financial Distress Events:</w:t>
      </w:r>
    </w:p>
    <w:p w:rsidR="00000000" w:rsidDel="00000000" w:rsidP="00000000" w:rsidRDefault="00000000" w:rsidRPr="00000000" w14:paraId="0000003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both"/>
        <w:rPr/>
      </w:pPr>
      <w:bookmarkStart w:colFirst="0" w:colLast="0" w:name="_idqqp2bp1v8q" w:id="6"/>
      <w:bookmarkEnd w:id="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credit rating of an FDE Group entity dropping below the applicable Credit Rating Threshold;</w:t>
      </w:r>
    </w:p>
    <w:p w:rsidR="00000000" w:rsidDel="00000000" w:rsidP="00000000" w:rsidRDefault="00000000" w:rsidRPr="00000000" w14:paraId="0000003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both"/>
        <w:rPr/>
      </w:pPr>
      <w:bookmarkStart w:colFirst="0" w:colLast="0" w:name="_59fdryc03lbn" w:id="7"/>
      <w:bookmarkEnd w:id="7"/>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 FDE Group entity issuing a profits warning to a stock exchange or making any other public announcement, in each case about a material deterioration in its financial position or prospects;</w:t>
      </w:r>
    </w:p>
    <w:p w:rsidR="00000000" w:rsidDel="00000000" w:rsidP="00000000" w:rsidRDefault="00000000" w:rsidRPr="00000000" w14:paraId="0000003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there being a public investigation into improper financial accounting and reporting, suspected fraud or any other impropriety of an FDE Group entity;</w:t>
      </w:r>
    </w:p>
    <w:p w:rsidR="00000000" w:rsidDel="00000000" w:rsidP="00000000" w:rsidRDefault="00000000" w:rsidRPr="00000000" w14:paraId="0000003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 FDE Group entity committing a material breach of covenant to its lenders;</w:t>
      </w:r>
    </w:p>
    <w:p w:rsidR="00000000" w:rsidDel="00000000" w:rsidP="00000000" w:rsidRDefault="00000000" w:rsidRPr="00000000" w14:paraId="0000003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both"/>
        <w:rPr/>
      </w:pPr>
      <w:bookmarkStart w:colFirst="0" w:colLast="0" w:name="_7yygiicmxv5d" w:id="8"/>
      <w:bookmarkEnd w:id="8"/>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Key Sub-contractor notifying CCS or the Buyer that the Supplier has not satisfied any material sums properly due under a specified invoice and not subject to a genuine dispute;</w:t>
      </w:r>
    </w:p>
    <w:p w:rsidR="00000000" w:rsidDel="00000000" w:rsidP="00000000" w:rsidRDefault="00000000" w:rsidRPr="00000000" w14:paraId="0000004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FDE Group entity extends the filing period for filing its accounts with the Registrar of Companies so that the filing period ends more than 9 months after its accounting reference date without an explanation to the Authority which the Authority (acting reasonably) considers to be adequate;</w:t>
      </w:r>
    </w:p>
    <w:p w:rsidR="00000000" w:rsidDel="00000000" w:rsidP="00000000" w:rsidRDefault="00000000" w:rsidRPr="00000000" w14:paraId="0000004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both"/>
        <w:rPr/>
      </w:pPr>
      <w:bookmarkStart w:colFirst="0" w:colLast="0" w:name="_42380fh1rl5j" w:id="9"/>
      <w:bookmarkEnd w:id="9"/>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FDE Group entity is late to file its annual accounts without a public notification or an explanation to the Authority which the Authority, acting reasonably, considers to be adequate;</w:t>
      </w:r>
    </w:p>
    <w:p w:rsidR="00000000" w:rsidDel="00000000" w:rsidP="00000000" w:rsidRDefault="00000000" w:rsidRPr="00000000" w14:paraId="0000004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directors and/or external auditors of any FDE Group entity conclude that a material uncertainty exists in relation to that FDE Group entity’s going concern in the annual report including in a reasonable but plausible downside scenario. This includes, but is not limited to, commentary about liquidity and trading prospects in the reports from directors or external auditors;</w:t>
      </w:r>
    </w:p>
    <w:p w:rsidR="00000000" w:rsidDel="00000000" w:rsidP="00000000" w:rsidRDefault="00000000" w:rsidRPr="00000000" w14:paraId="0000004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of the following:</w:t>
      </w:r>
    </w:p>
    <w:p w:rsidR="00000000" w:rsidDel="00000000" w:rsidP="00000000" w:rsidRDefault="00000000" w:rsidRPr="00000000" w14:paraId="0000004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847" w:right="0" w:hanging="861"/>
        <w:jc w:val="both"/>
        <w:rPr>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FDE Group entity makes a public announcement which contains adverse commentary with regards to that FDE Group entity’s liquidity and trading and trading prospects, such as but not limited to, a profit warning or ability to trade as a going concern;</w:t>
      </w:r>
    </w:p>
    <w:p w:rsidR="00000000" w:rsidDel="00000000" w:rsidP="00000000" w:rsidRDefault="00000000" w:rsidRPr="00000000" w14:paraId="0000004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847" w:right="0" w:hanging="861"/>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commencement of any litigation against an FDE Group entity with respect to financial indebtedness greater than £5m or obligations under a service contract with a total contract value greater than £5m; </w:t>
      </w:r>
    </w:p>
    <w:p w:rsidR="00000000" w:rsidDel="00000000" w:rsidP="00000000" w:rsidRDefault="00000000" w:rsidRPr="00000000" w14:paraId="00000046">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847" w:right="0" w:hanging="861"/>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non-payment by an FDE Group entity of any financial indebtedness;</w:t>
      </w:r>
    </w:p>
    <w:p w:rsidR="00000000" w:rsidDel="00000000" w:rsidP="00000000" w:rsidRDefault="00000000" w:rsidRPr="00000000" w14:paraId="0000004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847" w:right="0" w:hanging="861"/>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financial indebtedness of an FDE Group entity becoming due as a result of an event of default;</w:t>
      </w:r>
    </w:p>
    <w:p w:rsidR="00000000" w:rsidDel="00000000" w:rsidP="00000000" w:rsidRDefault="00000000" w:rsidRPr="00000000" w14:paraId="00000048">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847" w:right="0" w:hanging="861"/>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cancellation or suspension of any financial indebtedness in respect of an FDE Group entity; or</w:t>
      </w:r>
    </w:p>
    <w:p w:rsidR="00000000" w:rsidDel="00000000" w:rsidP="00000000" w:rsidRDefault="00000000" w:rsidRPr="00000000" w14:paraId="00000049">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847" w:right="0" w:hanging="861"/>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external auditor of an FDE Group entity expressing a qualified opinion on, or including an emphasis of matter in, its opinion on the statutory accounts of that FDE entity;</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each case which the Relevant Authority reasonably believes (or would be likely reasonably to believe) could directly impact on the continued performance and delivery of the Deliverables in accordance with the Contract; and</w:t>
      </w:r>
    </w:p>
    <w:p w:rsidR="00000000" w:rsidDel="00000000" w:rsidP="00000000" w:rsidRDefault="00000000" w:rsidRPr="00000000" w14:paraId="0000004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both"/>
        <w:rPr>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of the Financial Indicators set out at Paragraph 5 for any of the FDE Group entities failing to meet the required Financial Target Threshold.</w:t>
      </w:r>
      <w:r w:rsidDel="00000000" w:rsidR="00000000" w:rsidRPr="00000000">
        <w:rPr>
          <w:rtl w:val="0"/>
        </w:rPr>
      </w:r>
    </w:p>
    <w:p w:rsidR="00000000" w:rsidDel="00000000" w:rsidP="00000000" w:rsidRDefault="00000000" w:rsidRPr="00000000" w14:paraId="0000004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426"/>
        </w:tabs>
        <w:spacing w:after="120" w:before="120" w:line="240" w:lineRule="auto"/>
        <w:ind w:left="426" w:right="0" w:hanging="426"/>
        <w:jc w:val="left"/>
        <w:rPr>
          <w:shd w:fill="auto" w:val="clear"/>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Consequences of Financial Distress Events</w:t>
      </w: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bookmarkStart w:colFirst="0" w:colLast="0" w:name="_2g8zam2vw0vz" w:id="10"/>
      <w:bookmarkEnd w:id="1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p>
    <w:p w:rsidR="00000000" w:rsidDel="00000000" w:rsidP="00000000" w:rsidRDefault="00000000" w:rsidRPr="00000000" w14:paraId="0000004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the event of a late or non-payment of a Key Sub-contractor pursuant to Paragraph 3.1.5, the Relevant Authority shall not exercise any of its rights or remedies under Paragraph 4.3 without first giving the Supplier 10 Working Days to:</w:t>
      </w:r>
    </w:p>
    <w:p w:rsidR="00000000" w:rsidDel="00000000" w:rsidP="00000000" w:rsidRDefault="00000000" w:rsidRPr="00000000" w14:paraId="0000004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rectify such late or non-payment; or</w:t>
      </w:r>
    </w:p>
    <w:p w:rsidR="00000000" w:rsidDel="00000000" w:rsidP="00000000" w:rsidRDefault="00000000" w:rsidRPr="00000000" w14:paraId="0000005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demonstrate to the Relevant Authority’s reasonable satisfaction that there is a valid reason for late or non-payment.</w:t>
      </w:r>
    </w:p>
    <w:p w:rsidR="00000000" w:rsidDel="00000000" w:rsidP="00000000" w:rsidRDefault="00000000" w:rsidRPr="00000000" w14:paraId="0000005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276"/>
        </w:tabs>
        <w:spacing w:after="120" w:before="120" w:line="240" w:lineRule="auto"/>
        <w:ind w:left="1134" w:right="0" w:hanging="708"/>
        <w:jc w:val="left"/>
        <w:rPr/>
      </w:pPr>
      <w:bookmarkStart w:colFirst="0" w:colLast="0" w:name="_dv9wobqudaaq" w:id="11"/>
      <w:bookmarkEnd w:id="1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(and shall procure that any Monitored Supplier, the Guarantor and/or any relevant Key Sub-contractor shall):</w:t>
      </w:r>
    </w:p>
    <w:p w:rsidR="00000000" w:rsidDel="00000000" w:rsidP="00000000" w:rsidRDefault="00000000" w:rsidRPr="00000000" w14:paraId="0000005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both"/>
        <w:rPr/>
      </w:pPr>
      <w:bookmarkStart w:colFirst="0" w:colLast="0" w:name="_8iakian8mq0r" w:id="12"/>
      <w:bookmarkEnd w:id="1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p w:rsidR="00000000" w:rsidDel="00000000" w:rsidP="00000000" w:rsidRDefault="00000000" w:rsidRPr="00000000" w14:paraId="0000005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Relevant Authority reasonably believes (taking into account the discussions and any representations made under Paragraph 4.3.1) that the Financial Distress Event could impact on the continued performance and delivery of the Deliverables in accordance with the Contract:</w:t>
      </w:r>
    </w:p>
    <w:p w:rsidR="00000000" w:rsidDel="00000000" w:rsidP="00000000" w:rsidRDefault="00000000" w:rsidRPr="00000000" w14:paraId="0000005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submit to the Relevant Authority for its approval, a draft Financial Distress Remediation Plan as soon as reasonably practicable (and in any event, within 10 Working Days of the initial notification (or awareness) of the Financial Distress Event or such other period as the Relevant Authority may permit and notify to the Supplier in writing); and</w:t>
      </w:r>
    </w:p>
    <w:p w:rsidR="00000000" w:rsidDel="00000000" w:rsidP="00000000" w:rsidRDefault="00000000" w:rsidRPr="00000000" w14:paraId="0000005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both"/>
        <w:rPr/>
      </w:pPr>
      <w:bookmarkStart w:colFirst="0" w:colLast="0" w:name="_ndzz88jlqojs" w:id="13"/>
      <w:bookmarkEnd w:id="13"/>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rsidR="00000000" w:rsidDel="00000000" w:rsidP="00000000" w:rsidRDefault="00000000" w:rsidRPr="00000000" w14:paraId="0000005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bookmarkStart w:colFirst="0" w:colLast="0" w:name="_amu5h7tk3esq" w:id="14"/>
      <w:bookmarkEnd w:id="1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38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(Resolving disputes)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of the General Terms under Paragraph 4.5.</w:t>
      </w:r>
    </w:p>
    <w:p w:rsidR="00000000" w:rsidDel="00000000" w:rsidP="00000000" w:rsidRDefault="00000000" w:rsidRPr="00000000" w14:paraId="0000005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bookmarkStart w:colFirst="0" w:colLast="0" w:name="_8eakyz5rm57o" w:id="15"/>
      <w:bookmarkEnd w:id="1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38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(Resolving disputes)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of the General Terms.</w:t>
      </w:r>
    </w:p>
    <w:p w:rsidR="00000000" w:rsidDel="00000000" w:rsidP="00000000" w:rsidRDefault="00000000" w:rsidRPr="00000000" w14:paraId="0000005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bookmarkStart w:colFirst="0" w:colLast="0" w:name="_no53tx8kj30z" w:id="16"/>
      <w:bookmarkEnd w:id="1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Following approval of the Financial Distress Remediation Plan by the Relevant Authority, the Supplier shall:</w:t>
      </w:r>
    </w:p>
    <w:p w:rsidR="00000000" w:rsidDel="00000000" w:rsidP="00000000" w:rsidRDefault="00000000" w:rsidRPr="00000000" w14:paraId="0000005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both"/>
        <w:rPr/>
      </w:pPr>
      <w:bookmarkStart w:colFirst="0" w:colLast="0" w:name="_pq2t382kmra8" w:id="17"/>
      <w:bookmarkEnd w:id="17"/>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on a regular basis (which shall not be less than fortnightly):</w:t>
      </w:r>
    </w:p>
    <w:p w:rsidR="00000000" w:rsidDel="00000000" w:rsidP="00000000" w:rsidRDefault="00000000" w:rsidRPr="00000000" w14:paraId="0000005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835" w:right="0" w:hanging="850"/>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the Contract; and</w:t>
      </w:r>
    </w:p>
    <w:p w:rsidR="00000000" w:rsidDel="00000000" w:rsidP="00000000" w:rsidRDefault="00000000" w:rsidRPr="00000000" w14:paraId="0000005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835" w:right="0" w:hanging="850"/>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changes;</w:t>
      </w:r>
    </w:p>
    <w:p w:rsidR="00000000" w:rsidDel="00000000" w:rsidP="00000000" w:rsidRDefault="00000000" w:rsidRPr="00000000" w14:paraId="0000005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updates are made to the Financial Distress Remediation Plan in accordance with Paragraph 4.6.1, submit an updated Financial Distress Remediation Plan to the Relevant Authority for its approval, and the provisions of Paragraphs 4.4 and 4.5 shall apply to the review and approval process for the updated Financial Distress Remediation Plan; and</w:t>
      </w:r>
    </w:p>
    <w:p w:rsidR="00000000" w:rsidDel="00000000" w:rsidP="00000000" w:rsidRDefault="00000000" w:rsidRPr="00000000" w14:paraId="0000005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both"/>
        <w:rPr/>
      </w:pPr>
      <w:bookmarkStart w:colFirst="0" w:colLast="0" w:name="_nmslpz5s9mtl" w:id="18"/>
      <w:bookmarkEnd w:id="18"/>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comply with the Financial Distress Remediation Plan (including any updated Financial Distress Remediation Plan) and ensure that it achieves the financial and performance requirements set out in the Financial Distress Remediation Plan.</w:t>
      </w:r>
    </w:p>
    <w:p w:rsidR="00000000" w:rsidDel="00000000" w:rsidP="00000000" w:rsidRDefault="00000000" w:rsidRPr="00000000" w14:paraId="0000005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276"/>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p>
    <w:p w:rsidR="00000000" w:rsidDel="00000000" w:rsidP="00000000" w:rsidRDefault="00000000" w:rsidRPr="00000000" w14:paraId="0000005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276"/>
        </w:tabs>
        <w:spacing w:after="120" w:before="120" w:line="240" w:lineRule="auto"/>
        <w:ind w:left="1134" w:right="0" w:hanging="708"/>
        <w:jc w:val="left"/>
        <w:rPr/>
      </w:pPr>
      <w:bookmarkStart w:colFirst="0" w:colLast="0" w:name="_ackq16pg07ml" w:id="19"/>
      <w:bookmarkEnd w:id="19"/>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use reasonable endeavours to put in place the necessary measures to ensure that the information specified at Paragraph 4.3.2(b) is available when required and on request from the Relevant Authority and within reasonable timescales. Such measures may include:</w:t>
      </w:r>
    </w:p>
    <w:p w:rsidR="00000000" w:rsidDel="00000000" w:rsidP="00000000" w:rsidRDefault="00000000" w:rsidRPr="00000000" w14:paraId="0000006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obtaining in advance written authority from Key Sub-contractors, the Guarantor and/or Monitored Suppliers authorising the disclosure of the information to the Buyer and/or entering into confidentiality agreements which permit disclosure;</w:t>
      </w:r>
    </w:p>
    <w:p w:rsidR="00000000" w:rsidDel="00000000" w:rsidP="00000000" w:rsidRDefault="00000000" w:rsidRPr="00000000" w14:paraId="0000006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agreeing in advance with the Relevant Authority, Key Sub-contractors, the Guarantor and/or Monitored Suppliers a form of confidentiality agreement to be entered by the relevant parties to enable the disclosure of the information to the Relevant Authority;</w:t>
      </w:r>
    </w:p>
    <w:p w:rsidR="00000000" w:rsidDel="00000000" w:rsidP="00000000" w:rsidRDefault="00000000" w:rsidRPr="00000000" w14:paraId="0000006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p>
    <w:p w:rsidR="00000000" w:rsidDel="00000000" w:rsidP="00000000" w:rsidRDefault="00000000" w:rsidRPr="00000000" w14:paraId="0000006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disclosing the information to the fullest extent that it is lawfully entitled to do so, including through the use of redaction, anonymisation and any other techniques to permit disclosure of the information without breaching a duty of confidentiality.</w:t>
      </w:r>
    </w:p>
    <w:p w:rsidR="00000000" w:rsidDel="00000000" w:rsidP="00000000" w:rsidRDefault="00000000" w:rsidRPr="00000000" w14:paraId="0000006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426"/>
        </w:tabs>
        <w:spacing w:after="120" w:before="120" w:line="240" w:lineRule="auto"/>
        <w:ind w:left="426" w:right="0" w:hanging="426"/>
        <w:jc w:val="left"/>
        <w:rPr>
          <w:shd w:fill="auto" w:val="clear"/>
        </w:rPr>
      </w:pPr>
      <w:bookmarkStart w:colFirst="0" w:colLast="0" w:name="_c5frud2ju273" w:id="20"/>
      <w:bookmarkEnd w:id="20"/>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Financial Indicators</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 The Financial Indicators set out in the table at paragraph 5.1 have been established at Framework level to satisfy Cabinet Office Contract Tiering Tool requirements. Any assessment of conditions of participation that are included as part of a competitive selection process under a framework is not legally a ‘reassessment’ of any conditions of participation that applied to the award of the framework. However, a condition of participation for the award of a call-off contract may include a requirement that the conditions of participation for the award of the framework must be met or may include some or all of the same conditions of participation. It may also include additional conditions that did not apply to the award of the framework.  Please take your own legal advice if you are uncertain how to proceed.]</w:t>
      </w:r>
    </w:p>
    <w:p w:rsidR="00000000" w:rsidDel="00000000" w:rsidP="00000000" w:rsidRDefault="00000000" w:rsidRPr="00000000" w14:paraId="0000006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bookmarkStart w:colFirst="0" w:colLast="0" w:name="_6j3xio1t0f6" w:id="21"/>
      <w:bookmarkEnd w:id="2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tbl>
      <w:tblPr>
        <w:tblStyle w:val="Table2"/>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3"/>
        <w:gridCol w:w="1977"/>
        <w:gridCol w:w="1697"/>
        <w:gridCol w:w="3089"/>
        <w:tblGridChange w:id="0">
          <w:tblGrid>
            <w:gridCol w:w="2253"/>
            <w:gridCol w:w="1977"/>
            <w:gridCol w:w="1697"/>
            <w:gridCol w:w="3089"/>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Financial Indicator</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Calculation</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superscript"/>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Financial Target Threshold:</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bookmarkStart w:colFirst="0" w:colLast="0" w:name="_5431ewix4mcd" w:id="22"/>
            <w:bookmarkEnd w:id="22"/>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Monitoring and Reporting Frequency </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[if different from the default position set out in Paragraph 2.3.2)]</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1 - The higher of (a) the Operating Margin for the most recent 12 month period and (b) the average Operating Margin for the last two 12 month periods</w:t>
            </w:r>
            <w:r w:rsidDel="00000000" w:rsidR="00000000" w:rsidRPr="00000000">
              <w:rPr>
                <w:rtl w:val="0"/>
              </w:rPr>
            </w:r>
          </w:p>
        </w:tc>
        <w:tc>
          <w:tcPr>
            <w:vAlign w:val="center"/>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Operating Margin = Operating Profit / Revenue</w:t>
            </w:r>
            <w:r w:rsidDel="00000000" w:rsidR="00000000" w:rsidRPr="00000000">
              <w:rPr>
                <w:rtl w:val="0"/>
              </w:rPr>
            </w:r>
          </w:p>
        </w:tc>
        <w:tc>
          <w:tcPr>
            <w:vAlign w:val="center"/>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bCs w:val="0"/>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&lt;3.0%</w:t>
            </w:r>
          </w:p>
        </w:tc>
        <w:tc>
          <w:tcPr>
            <w:vAlign w:val="center"/>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Tested and reported</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 yearly</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in arrears within </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120</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days of each </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based upon figures for the 12 months ending on the relevant </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accounting reference date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2 - </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Net Debt to EBITDA Ratio</w:t>
            </w:r>
            <w:r w:rsidDel="00000000" w:rsidR="00000000" w:rsidRPr="00000000">
              <w:rPr>
                <w:rtl w:val="0"/>
              </w:rPr>
            </w:r>
          </w:p>
        </w:tc>
        <w:tc>
          <w:tcPr>
            <w:vAlign w:val="center"/>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Net Debt to EBITDA ratio = Net Debt / EBITDA</w:t>
            </w:r>
            <w:r w:rsidDel="00000000" w:rsidR="00000000" w:rsidRPr="00000000">
              <w:rPr>
                <w:rtl w:val="0"/>
              </w:rPr>
            </w:r>
          </w:p>
        </w:tc>
        <w:tc>
          <w:tcPr>
            <w:vAlign w:val="center"/>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&gt;3.5x</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times</w:t>
            </w:r>
          </w:p>
        </w:tc>
        <w:tc>
          <w:tcPr>
            <w:vAlign w:val="center"/>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Tested and reported </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yearly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in arrears within </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120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days of each </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based upon </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Free Cash Flow / EBITDA</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for the 12 months ending on, and Net Debt at, the relevant </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accounting reference date </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3 - </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Net Debt + Net Pension Deficit to EBITDA ratio</w:t>
            </w:r>
            <w:r w:rsidDel="00000000" w:rsidR="00000000" w:rsidRPr="00000000">
              <w:rPr>
                <w:rtl w:val="0"/>
              </w:rPr>
            </w:r>
          </w:p>
        </w:tc>
        <w:tc>
          <w:tcPr>
            <w:vAlign w:val="center"/>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Net Debt + Net Pension Deficit to EBITDA Ratio = (Net Debt + Net Pension Deficit) / EBITDA</w:t>
            </w:r>
            <w:r w:rsidDel="00000000" w:rsidR="00000000" w:rsidRPr="00000000">
              <w:rPr>
                <w:rtl w:val="0"/>
              </w:rPr>
            </w:r>
          </w:p>
        </w:tc>
        <w:tc>
          <w:tcPr>
            <w:vAlign w:val="center"/>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&gt;5.0x</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times</w:t>
            </w:r>
          </w:p>
        </w:tc>
        <w:tc>
          <w:tcPr>
            <w:vAlign w:val="center"/>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Tested and reported yearly in arrears within 90 days of each accounting reference date based upon EBITDA for the 12 months ending on, and the Net Debt and Net Pension Deficit at, the relevant accounting reference date</w:t>
            </w:r>
          </w:p>
        </w:tc>
      </w:tr>
      <w:tr>
        <w:trPr>
          <w:cantSplit w:val="0"/>
          <w:tblHeader w:val="0"/>
        </w:trPr>
        <w:tc>
          <w:tcPr>
            <w:vAlign w:val="center"/>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4 - </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Net Interest Paid Cover</w:t>
            </w:r>
            <w:r w:rsidDel="00000000" w:rsidR="00000000" w:rsidRPr="00000000">
              <w:rPr>
                <w:rtl w:val="0"/>
              </w:rPr>
            </w:r>
          </w:p>
        </w:tc>
        <w:tc>
          <w:tcPr>
            <w:vAlign w:val="center"/>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[Net Interest Paid Cover = Earnings Before Interest and Tax / Net Interest Paid]</w:t>
            </w:r>
          </w:p>
        </w:tc>
        <w:tc>
          <w:tcPr>
            <w:vAlign w:val="cente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&lt;3.0</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times</w:t>
            </w:r>
          </w:p>
        </w:tc>
        <w:tc>
          <w:tcPr>
            <w:vAlign w:val="center"/>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bCs w:val="0"/>
                <w:i w:val="1"/>
                <w:iCs w:val="1"/>
                <w:smallCaps w:val="0"/>
                <w:strike w:val="0"/>
                <w:color w:val="000000"/>
                <w:sz w:val="24"/>
                <w:szCs w:val="24"/>
                <w:u w:val="none"/>
                <w:shd w:fill="auto" w:val="clear"/>
                <w:vertAlign w:val="baseline"/>
              </w:rPr>
            </w:pPr>
            <w:bookmarkStart w:colFirst="0" w:colLast="0" w:name="_c2fcrbfrzy0x" w:id="23"/>
            <w:bookmarkEnd w:id="23"/>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Tested and reported </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yearly</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in arrears within </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120</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days of each </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accounting reference date</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based upon figures for the 12 months ending on the relevant</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 accounting reference date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5 - </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Acid Ratio (Or Quick Ratio)</w:t>
            </w:r>
            <w:r w:rsidDel="00000000" w:rsidR="00000000" w:rsidRPr="00000000">
              <w:rPr>
                <w:rtl w:val="0"/>
              </w:rPr>
            </w:r>
          </w:p>
        </w:tc>
        <w:tc>
          <w:tcPr>
            <w:vAlign w:val="center"/>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Acid Ratio = (Current Assets – Inventories) / Current Liabilities</w:t>
            </w:r>
            <w:r w:rsidDel="00000000" w:rsidR="00000000" w:rsidRPr="00000000">
              <w:rPr>
                <w:rtl w:val="0"/>
              </w:rPr>
            </w:r>
          </w:p>
        </w:tc>
        <w:tc>
          <w:tcPr>
            <w:vAlign w:val="center"/>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&lt;0.8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times</w:t>
            </w:r>
          </w:p>
        </w:tc>
        <w:tc>
          <w:tcPr>
            <w:vAlign w:val="center"/>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Tested and reported </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yearly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in arrears within </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120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days of each </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based upon figures at the relevant </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accounting reference date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6</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 - Net Asset value</w:t>
            </w:r>
            <w:r w:rsidDel="00000000" w:rsidR="00000000" w:rsidRPr="00000000">
              <w:rPr>
                <w:rtl w:val="0"/>
              </w:rPr>
            </w:r>
          </w:p>
        </w:tc>
        <w:tc>
          <w:tcPr>
            <w:vAlign w:val="center"/>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Net Asset Value = Net Assets</w:t>
            </w:r>
            <w:r w:rsidDel="00000000" w:rsidR="00000000" w:rsidRPr="00000000">
              <w:rPr>
                <w:rtl w:val="0"/>
              </w:rPr>
            </w:r>
          </w:p>
        </w:tc>
        <w:tc>
          <w:tcPr>
            <w:vAlign w:val="center"/>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&gt; Nil</w:t>
            </w:r>
            <w:r w:rsidDel="00000000" w:rsidR="00000000" w:rsidRPr="00000000">
              <w:rPr>
                <w:rtl w:val="0"/>
              </w:rPr>
            </w:r>
          </w:p>
        </w:tc>
        <w:tc>
          <w:tcPr>
            <w:vAlign w:val="center"/>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Tested and reported </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yearly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in arrears within </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120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days of each </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based upon figures at the relevant </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accounting reference date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7 - </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Group Exposure Ratio</w:t>
            </w:r>
            <w:r w:rsidDel="00000000" w:rsidR="00000000" w:rsidRPr="00000000">
              <w:rPr>
                <w:rtl w:val="0"/>
              </w:rPr>
            </w:r>
          </w:p>
        </w:tc>
        <w:tc>
          <w:tcPr>
            <w:vAlign w:val="center"/>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Group Exposure / Gross Assets</w:t>
            </w:r>
            <w:r w:rsidDel="00000000" w:rsidR="00000000" w:rsidRPr="00000000">
              <w:rPr>
                <w:rtl w:val="0"/>
              </w:rPr>
            </w:r>
          </w:p>
        </w:tc>
        <w:tc>
          <w:tcPr>
            <w:vAlign w:val="center"/>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&gt;50%</w:t>
            </w:r>
            <w:r w:rsidDel="00000000" w:rsidR="00000000" w:rsidRPr="00000000">
              <w:rPr>
                <w:rtl w:val="0"/>
              </w:rPr>
            </w:r>
          </w:p>
        </w:tc>
        <w:tc>
          <w:tcPr>
            <w:vAlign w:val="center"/>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Tested and reported yearly in arrears within 90 days of each accounting reference date based upon figures at the relevant accounting reference date</w:t>
            </w:r>
          </w:p>
        </w:tc>
      </w:tr>
    </w:tbl>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both"/>
        <w:rPr>
          <w:rFonts w:ascii="Arial" w:cs="Arial" w:eastAsia="Arial" w:hAnsi="Arial"/>
          <w:b w:val="0"/>
          <w:bCs w:val="0"/>
          <w:i w:val="0"/>
          <w:iCs w:val="0"/>
          <w:smallCaps w:val="1"/>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Key: 1 – see Annex 3 to this Schedule which sets out the calculation methodology to be used in the calculation of each Financial Indicator.</w:t>
      </w:r>
      <w:r w:rsidDel="00000000" w:rsidR="00000000" w:rsidRPr="00000000">
        <w:rPr>
          <w:rtl w:val="0"/>
        </w:rPr>
      </w:r>
    </w:p>
    <w:p w:rsidR="00000000" w:rsidDel="00000000" w:rsidP="00000000" w:rsidRDefault="00000000" w:rsidRPr="00000000" w14:paraId="0000008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bookmarkStart w:colFirst="0" w:colLast="0" w:name="_icgygwk8bwzr" w:id="24"/>
      <w:bookmarkEnd w:id="2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Monitored Suppliers </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firstLine="0"/>
        <w:jc w:val="left"/>
        <w:rPr>
          <w:rFonts w:ascii="Arial" w:cs="Arial" w:eastAsia="Arial" w:hAnsi="Arial"/>
          <w:b w:val="1"/>
          <w:bCs w:val="1"/>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[Guidance: 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r w:rsidDel="00000000" w:rsidR="00000000" w:rsidRPr="00000000">
        <w:rPr>
          <w:rtl w:val="0"/>
        </w:rPr>
      </w:r>
    </w:p>
    <w:tbl>
      <w:tblPr>
        <w:tblStyle w:val="Table3"/>
        <w:tblW w:w="7887.0" w:type="dxa"/>
        <w:jc w:val="left"/>
        <w:tblInd w:w="112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64"/>
        <w:gridCol w:w="4223"/>
        <w:tblGridChange w:id="0">
          <w:tblGrid>
            <w:gridCol w:w="3664"/>
            <w:gridCol w:w="4223"/>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Monitored Supplier</w:t>
            </w:r>
          </w:p>
        </w:tc>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Applicable Financial Indicators</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tlgiyb4n26wa" w:id="25"/>
            <w:bookmarkEnd w:id="2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(these are the Financial Indicators from the table in Paragraph 5.1 which are to apply to the Monitored Suppliers)</w:t>
            </w:r>
          </w:p>
        </w:tc>
      </w:tr>
      <w:tr>
        <w:trPr>
          <w:cantSplit w:val="0"/>
          <w:tblHeader w:val="0"/>
        </w:trPr>
        <w:tc>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[Entity 1 e.g Group Member, Sub-contractor, Relevant Parent Company etc.] </w:t>
            </w:r>
            <w:r w:rsidDel="00000000" w:rsidR="00000000" w:rsidRPr="00000000">
              <w:rPr>
                <w:rtl w:val="0"/>
              </w:rPr>
            </w:r>
          </w:p>
        </w:tc>
        <w:tc>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[1 – Operating Margin]</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[2 – etc..]</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[3][4][5][6][7][8][etc..]</w:t>
            </w:r>
            <w:r w:rsidDel="00000000" w:rsidR="00000000" w:rsidRPr="00000000">
              <w:rPr>
                <w:rtl w:val="0"/>
              </w:rPr>
            </w:r>
          </w:p>
        </w:tc>
      </w:tr>
      <w:tr>
        <w:trPr>
          <w:cantSplit w:val="0"/>
          <w:tblHeader w:val="0"/>
        </w:trPr>
        <w:tc>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[Entity 2 e.g Group Member, Sub-contractor, Relevant Parent Company etc.]</w:t>
            </w:r>
          </w:p>
        </w:tc>
        <w:tc>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[1 – Operating Margin]</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[2 – etc.]</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[3][4][5][6][7][8][etc..]</w:t>
            </w:r>
          </w:p>
        </w:tc>
      </w:tr>
      <w:tr>
        <w:trPr>
          <w:cantSplit w:val="0"/>
          <w:tblHeader w:val="0"/>
        </w:trPr>
        <w:tc>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[etc.]</w:t>
            </w:r>
          </w:p>
        </w:tc>
        <w:tc>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[etc.]</w:t>
            </w:r>
          </w:p>
        </w:tc>
      </w:tr>
    </w:tbl>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1004"/>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426"/>
        </w:tabs>
        <w:spacing w:after="120" w:before="120" w:line="240" w:lineRule="auto"/>
        <w:ind w:left="426" w:right="0" w:hanging="426"/>
        <w:jc w:val="left"/>
        <w:rPr>
          <w:shd w:fill="auto" w:val="clear"/>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Termination rights</w:t>
      </w:r>
    </w:p>
    <w:p w:rsidR="00000000" w:rsidDel="00000000" w:rsidP="00000000" w:rsidRDefault="00000000" w:rsidRPr="00000000" w14:paraId="0000009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Relevant Authority shall be entitled to terminate the Contract if:</w:t>
      </w:r>
    </w:p>
    <w:p w:rsidR="00000000" w:rsidDel="00000000" w:rsidP="00000000" w:rsidRDefault="00000000" w:rsidRPr="00000000" w14:paraId="0000009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fails to notify the Relevant Authority of a Financial Distress Event in accordance with Paragraph 2.3.3;</w:t>
      </w:r>
    </w:p>
    <w:p w:rsidR="00000000" w:rsidDel="00000000" w:rsidP="00000000" w:rsidRDefault="00000000" w:rsidRPr="00000000" w14:paraId="0000009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Parties fail to agree a Financial Distress Remediation Plan (or any updated Financial Distress Remediation Plan) in accordance with Paragraphs 4.3 to 4.5; and/or</w:t>
      </w:r>
    </w:p>
    <w:p w:rsidR="00000000" w:rsidDel="00000000" w:rsidP="00000000" w:rsidRDefault="00000000" w:rsidRPr="00000000" w14:paraId="0000009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fails to comply with the terms of the Financial Distress Remediation Plan (or any updated Financial Distress Remediation Plan) in accordance with Paragraph 4.6.3,</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134"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which shall be deemed to be an event to which Clause 13.3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(When CCS or the Buyer can end a contract)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of the General Terms applies and Clause 13.4.1 of the General Terms shall apply accordingly.</w:t>
      </w:r>
    </w:p>
    <w:p w:rsidR="00000000" w:rsidDel="00000000" w:rsidP="00000000" w:rsidRDefault="00000000" w:rsidRPr="00000000" w14:paraId="0000009F">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426"/>
        </w:tabs>
        <w:spacing w:after="120" w:before="120" w:line="240" w:lineRule="auto"/>
        <w:ind w:left="426" w:right="0" w:hanging="426"/>
        <w:jc w:val="left"/>
        <w:rPr>
          <w:shd w:fill="auto" w:val="clear"/>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Primacy of Credit Ratings</w:t>
      </w:r>
    </w:p>
    <w:p w:rsidR="00000000" w:rsidDel="00000000" w:rsidP="00000000" w:rsidRDefault="00000000" w:rsidRPr="00000000" w14:paraId="000000A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bookmarkStart w:colFirst="0" w:colLast="0" w:name="_fsj017hj3z7s" w:id="26"/>
      <w:bookmarkEnd w:id="2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Without prejudice to the Supplier’s obligations and the Relevant Authority’s rights and remedies under Paragraph 2, if, following the occurrence of a Financial Distress Event pursuant to any of Paragraphs 3.1.2 to 3.1.10, the Rating Agencies review and report subsequently that the credit ratings for the FDE Group entities do not drop below the relevant Credit Rating Thresholds specified for those entities in Annex 2 to this Schedule, then:</w:t>
      </w:r>
    </w:p>
    <w:p w:rsidR="00000000" w:rsidDel="00000000" w:rsidP="00000000" w:rsidRDefault="00000000" w:rsidRPr="00000000" w14:paraId="000000A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be relieved automatically of its obligations under Paragraphs 4.3 to 4.6; and</w:t>
      </w:r>
    </w:p>
    <w:p w:rsidR="00000000" w:rsidDel="00000000" w:rsidP="00000000" w:rsidRDefault="00000000" w:rsidRPr="00000000" w14:paraId="000000A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Relevant Authority shall not be entitled to require the Supplier to provide financial information in accordance with Paragraph 4.3.2(b).</w:t>
      </w:r>
    </w:p>
    <w:p w:rsidR="00000000" w:rsidDel="00000000" w:rsidP="00000000" w:rsidRDefault="00000000" w:rsidRPr="00000000" w14:paraId="000000A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426"/>
        </w:tabs>
        <w:spacing w:after="120" w:before="120" w:line="240" w:lineRule="auto"/>
        <w:ind w:left="426" w:right="0" w:hanging="426"/>
        <w:jc w:val="left"/>
        <w:rPr>
          <w:shd w:fill="auto" w:val="clear"/>
        </w:rPr>
      </w:pPr>
      <w:bookmarkStart w:colFirst="0" w:colLast="0" w:name="_8inu1c5hvkc4" w:id="27"/>
      <w:bookmarkEnd w:id="27"/>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Board confirmation</w:t>
      </w:r>
    </w:p>
    <w:p w:rsidR="00000000" w:rsidDel="00000000" w:rsidP="00000000" w:rsidRDefault="00000000" w:rsidRPr="00000000" w14:paraId="000000A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bookmarkStart w:colFirst="0" w:colLast="0" w:name="_yl5frxuz5qrr" w:id="28"/>
      <w:bookmarkEnd w:id="28"/>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Contract has been specified as a Critical Service Contract under Paragraph 1.1 of Call-Off Schedule 24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(Corporate Resolution Planning)</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p>
    <w:p w:rsidR="00000000" w:rsidDel="00000000" w:rsidP="00000000" w:rsidRDefault="00000000" w:rsidRPr="00000000" w14:paraId="000000A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that a Financial Distress Event has occurred since the later of the Effective Date or the previous Board Confirmation or is subsisting; or</w:t>
      </w:r>
    </w:p>
    <w:p w:rsidR="00000000" w:rsidDel="00000000" w:rsidP="00000000" w:rsidRDefault="00000000" w:rsidRPr="00000000" w14:paraId="000000A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of any matters which have occurred or are subsisting that could reasonably be expected to cause a Financial Distress Event.</w:t>
      </w:r>
    </w:p>
    <w:p w:rsidR="00000000" w:rsidDel="00000000" w:rsidP="00000000" w:rsidRDefault="00000000" w:rsidRPr="00000000" w14:paraId="000000A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ensure that in its preparation of the Board Confirmation it exercises due care and diligence and has made reasonable enquiry of all relevant Supplier Staff and other persons as is reasonably necessary to understand and confirm the position.</w:t>
      </w:r>
    </w:p>
    <w:p w:rsidR="00000000" w:rsidDel="00000000" w:rsidP="00000000" w:rsidRDefault="00000000" w:rsidRPr="00000000" w14:paraId="000000A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bookmarkStart w:colFirst="0" w:colLast="0" w:name="_wd1wehkmdz6r" w:id="29"/>
      <w:bookmarkEnd w:id="29"/>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respect of the first Board Confirmation to be provided under the Contract, the Supplier shall provide the Board Confirmation within 15 months of the Effective Date if earlier than the timescale for submission set out in Paragraph 8.1 of this Schedule.</w:t>
      </w:r>
    </w:p>
    <w:p w:rsidR="00000000" w:rsidDel="00000000" w:rsidP="00000000" w:rsidRDefault="00000000" w:rsidRPr="00000000" w14:paraId="000000A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bookmarkStart w:colFirst="0" w:colLast="0" w:name="_s23wac4789zg" w:id="30"/>
      <w:bookmarkEnd w:id="3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an Authorised Financial Representative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360" w:right="0" w:hanging="360"/>
        <w:jc w:val="both"/>
        <w:rPr>
          <w:rFonts w:ascii="Arial" w:cs="Arial" w:eastAsia="Arial" w:hAnsi="Arial"/>
          <w:b w:val="1"/>
          <w:bCs w:val="1"/>
          <w:i w:val="0"/>
          <w:iCs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Annex 1: Rating Agencies and their standard Rating System</w:t>
      </w:r>
    </w:p>
    <w:p w:rsidR="00000000" w:rsidDel="00000000" w:rsidP="00000000" w:rsidRDefault="00000000" w:rsidRPr="00000000" w14:paraId="000000A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[Rating Agency 1 Framework level agency Dun &amp; Bradstreet]</w:t>
      </w:r>
    </w:p>
    <w:p w:rsidR="00000000" w:rsidDel="00000000" w:rsidP="00000000" w:rsidRDefault="00000000" w:rsidRPr="00000000" w14:paraId="000000A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[Rating Agency 2]</w:t>
      </w: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bCs w:val="1"/>
          <w:i w:val="0"/>
          <w:iCs w:val="0"/>
          <w:smallCaps w:val="1"/>
          <w:strike w:val="0"/>
          <w:color w:val="000000"/>
          <w:sz w:val="36"/>
          <w:szCs w:val="36"/>
          <w:u w:val="none"/>
          <w:shd w:fill="auto" w:val="clear"/>
          <w:vertAlign w:val="baseline"/>
        </w:rPr>
      </w:pPr>
      <w:bookmarkStart w:colFirst="0" w:colLast="0" w:name="_kpg1lny5luj1" w:id="31"/>
      <w:bookmarkEnd w:id="31"/>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Annex 2</w:t>
      </w:r>
      <w:r w:rsidDel="00000000" w:rsidR="00000000" w:rsidRPr="00000000">
        <w:rPr>
          <w:rFonts w:ascii="Arial" w:cs="Arial" w:eastAsia="Arial" w:hAnsi="Arial"/>
          <w:b w:val="1"/>
          <w:bCs w:val="1"/>
          <w:i w:val="0"/>
          <w:iCs w:val="0"/>
          <w:smallCaps w:val="1"/>
          <w:strike w:val="0"/>
          <w:color w:val="000000"/>
          <w:sz w:val="36"/>
          <w:szCs w:val="36"/>
          <w:u w:val="none"/>
          <w:shd w:fill="auto" w:val="clear"/>
          <w:vertAlign w:val="baseline"/>
          <w:rtl w:val="0"/>
        </w:rPr>
        <w:t xml:space="preserve">: </w:t>
      </w:r>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Credit Ratings and Credit Rating Thresholds</w:t>
      </w:r>
      <w:r w:rsidDel="00000000" w:rsidR="00000000" w:rsidRPr="00000000">
        <w:rPr>
          <w:rtl w:val="0"/>
        </w:rPr>
      </w:r>
    </w:p>
    <w:tbl>
      <w:tblPr>
        <w:tblStyle w:val="Table4"/>
        <w:tblW w:w="9242.0" w:type="dxa"/>
        <w:jc w:val="left"/>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gridCol w:w="3081"/>
        <w:tblGridChange w:id="0">
          <w:tblGrid>
            <w:gridCol w:w="3080"/>
            <w:gridCol w:w="3081"/>
            <w:gridCol w:w="3081"/>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B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Entity</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B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Credit rating (long term)</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B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Credit Rating Threshold</w:t>
            </w:r>
          </w:p>
        </w:tc>
      </w:tr>
      <w:tr>
        <w:trPr>
          <w:cantSplit w:val="0"/>
          <w:tblHeader w:val="0"/>
        </w:trPr>
        <w:tc>
          <w:tcPr>
            <w:shd w:fill="ffffff" w:val="clear"/>
          </w:tcPr>
          <w:p w:rsidR="00000000" w:rsidDel="00000000" w:rsidP="00000000" w:rsidRDefault="00000000" w:rsidRPr="00000000" w14:paraId="000000B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Supplier</w:t>
            </w:r>
          </w:p>
        </w:tc>
        <w:tc>
          <w:tcPr>
            <w:shd w:fill="ffffff" w:val="clear"/>
          </w:tcPr>
          <w:p w:rsidR="00000000" w:rsidDel="00000000" w:rsidP="00000000" w:rsidRDefault="00000000" w:rsidRPr="00000000" w14:paraId="000000B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ffffff" w:val="clear"/>
          </w:tcPr>
          <w:p w:rsidR="00000000" w:rsidDel="00000000" w:rsidP="00000000" w:rsidRDefault="00000000" w:rsidRPr="00000000" w14:paraId="000000B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30</w:t>
            </w:r>
          </w:p>
        </w:tc>
      </w:tr>
      <w:tr>
        <w:trPr>
          <w:cantSplit w:val="0"/>
          <w:tblHeader w:val="0"/>
        </w:trPr>
        <w:tc>
          <w:tcPr>
            <w:shd w:fill="ffffff" w:val="clear"/>
          </w:tcPr>
          <w:p w:rsidR="00000000" w:rsidDel="00000000" w:rsidP="00000000" w:rsidRDefault="00000000" w:rsidRPr="00000000" w14:paraId="000000B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[Guarantor]</w:t>
            </w:r>
            <w:r w:rsidDel="00000000" w:rsidR="00000000" w:rsidRPr="00000000">
              <w:rPr>
                <w:rtl w:val="0"/>
              </w:rPr>
            </w:r>
          </w:p>
        </w:tc>
        <w:tc>
          <w:tcPr>
            <w:shd w:fill="ffffff" w:val="clear"/>
          </w:tcPr>
          <w:p w:rsidR="00000000" w:rsidDel="00000000" w:rsidP="00000000" w:rsidRDefault="00000000" w:rsidRPr="00000000" w14:paraId="000000B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ffffff" w:val="clear"/>
          </w:tcPr>
          <w:p w:rsidR="00000000" w:rsidDel="00000000" w:rsidP="00000000" w:rsidRDefault="00000000" w:rsidRPr="00000000" w14:paraId="000000B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0B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[Key Subcontractor]</w:t>
            </w:r>
          </w:p>
        </w:tc>
        <w:tc>
          <w:tcPr>
            <w:tcBorders>
              <w:bottom w:color="000000" w:space="0" w:sz="4" w:val="single"/>
            </w:tcBorders>
            <w:shd w:fill="ffffff" w:val="clear"/>
          </w:tcPr>
          <w:p w:rsidR="00000000" w:rsidDel="00000000" w:rsidP="00000000" w:rsidRDefault="00000000" w:rsidRPr="00000000" w14:paraId="000000B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0B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36"/>
          <w:szCs w:val="3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Annex 3: Calculation methodology for Financial Indicators</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1"/>
          <w:iCs w:val="1"/>
          <w:smallCaps w:val="0"/>
          <w:strike w:val="0"/>
          <w:color w:val="000000"/>
          <w:sz w:val="24"/>
          <w:szCs w:val="24"/>
          <w:u w:val="none"/>
          <w:shd w:fill="auto" w:val="clear"/>
          <w:vertAlign w:val="baseline"/>
        </w:rPr>
      </w:pPr>
      <w:bookmarkStart w:colFirst="0" w:colLast="0" w:name="_568jl6gfvjk" w:id="32"/>
      <w:bookmarkEnd w:id="32"/>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[Guidance: Amend this section as appropriate to reflect the calculation methodology for those Financial Indicators that are selected for inclusion in Paragraph 5.1 of this Schedule]</w:t>
      </w:r>
      <w:r w:rsidDel="00000000" w:rsidR="00000000" w:rsidRPr="00000000">
        <w:rPr>
          <w:rtl w:val="0"/>
        </w:rPr>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ensure that it uses the following general and specific methodologies for calculating the Financial Indicators against the Financial Target Thresholds:</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singl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single"/>
          <w:shd w:fill="auto" w:val="clear"/>
          <w:vertAlign w:val="baseline"/>
          <w:rtl w:val="0"/>
        </w:rPr>
        <w:t xml:space="preserve">General methodology</w:t>
      </w:r>
    </w:p>
    <w:p w:rsidR="00000000" w:rsidDel="00000000" w:rsidP="00000000" w:rsidRDefault="00000000" w:rsidRPr="00000000" w14:paraId="000000C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1"/>
          <w:bCs w:val="1"/>
          <w:i w:val="1"/>
          <w:iCs w:val="1"/>
          <w:smallCaps w:val="0"/>
          <w:strike w:val="0"/>
          <w:color w:val="000000"/>
          <w:sz w:val="24"/>
          <w:szCs w:val="24"/>
          <w:u w:val="none"/>
          <w:shd w:fill="auto" w:val="clear"/>
          <w:vertAlign w:val="baseline"/>
          <w:rtl w:val="0"/>
        </w:rPr>
        <w:t xml:space="preserve">Terminology</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rsidR="00000000" w:rsidDel="00000000" w:rsidP="00000000" w:rsidRDefault="00000000" w:rsidRPr="00000000" w14:paraId="000000C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bookmarkStart w:colFirst="0" w:colLast="0" w:name="_oq26dxvf4r4t" w:id="33"/>
      <w:bookmarkEnd w:id="33"/>
      <w:r w:rsidDel="00000000" w:rsidR="00000000" w:rsidRPr="00000000">
        <w:rPr>
          <w:rFonts w:ascii="Arial" w:cs="Arial" w:eastAsia="Arial" w:hAnsi="Arial"/>
          <w:b w:val="1"/>
          <w:bCs w:val="1"/>
          <w:i w:val="1"/>
          <w:iCs w:val="1"/>
          <w:smallCaps w:val="0"/>
          <w:strike w:val="0"/>
          <w:color w:val="000000"/>
          <w:sz w:val="24"/>
          <w:szCs w:val="24"/>
          <w:u w:val="none"/>
          <w:shd w:fill="auto" w:val="clear"/>
          <w:vertAlign w:val="baseline"/>
          <w:rtl w:val="0"/>
        </w:rPr>
        <w:t xml:space="preserve">Groups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Where the entity is the holding company of a group and prepares consolidated financial statements, the consolidated figures should be used.</w:t>
      </w:r>
    </w:p>
    <w:p w:rsidR="00000000" w:rsidDel="00000000" w:rsidP="00000000" w:rsidRDefault="00000000" w:rsidRPr="00000000" w14:paraId="000000C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1"/>
          <w:bCs w:val="1"/>
          <w:i w:val="1"/>
          <w:iCs w:val="1"/>
          <w:smallCaps w:val="0"/>
          <w:strike w:val="0"/>
          <w:color w:val="000000"/>
          <w:sz w:val="24"/>
          <w:szCs w:val="24"/>
          <w:u w:val="none"/>
          <w:shd w:fill="auto" w:val="clear"/>
          <w:vertAlign w:val="baseline"/>
          <w:rtl w:val="0"/>
        </w:rPr>
        <w:t xml:space="preserve">Foreign currency conversion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Figures denominated in foreign currencies should be converted at the exchange rate in force at the relevant date for which the Financial Indicator is being calculated.</w:t>
      </w:r>
    </w:p>
    <w:p w:rsidR="00000000" w:rsidDel="00000000" w:rsidP="00000000" w:rsidRDefault="00000000" w:rsidRPr="00000000" w14:paraId="000000C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1"/>
          <w:bCs w:val="1"/>
          <w:i w:val="1"/>
          <w:iCs w:val="1"/>
          <w:smallCaps w:val="0"/>
          <w:strike w:val="0"/>
          <w:color w:val="000000"/>
          <w:sz w:val="24"/>
          <w:szCs w:val="24"/>
          <w:u w:val="none"/>
          <w:shd w:fill="auto" w:val="clear"/>
          <w:vertAlign w:val="baseline"/>
          <w:rtl w:val="0"/>
        </w:rPr>
        <w:t xml:space="preserve">Treatment of non-underlying items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Financial Indicators should be based on the figures in the financial statements before adjusting for non-underlying items.</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mallCaps w:val="0"/>
          <w:strike w:val="0"/>
          <w:color w:val="000000"/>
          <w:sz w:val="24"/>
          <w:szCs w:val="24"/>
          <w:u w:val="singl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single"/>
          <w:shd w:fill="auto" w:val="clear"/>
          <w:vertAlign w:val="baseline"/>
          <w:rtl w:val="0"/>
        </w:rPr>
        <w:t xml:space="preserve">Specific Methodology</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[Guidance: Refer to Paragraph 5.1 of this Schedule for calculations of the Financial Indicators]</w:t>
      </w:r>
      <w:r w:rsidDel="00000000" w:rsidR="00000000" w:rsidRPr="00000000">
        <w:rPr>
          <w:rtl w:val="0"/>
        </w:rPr>
      </w:r>
    </w:p>
    <w:tbl>
      <w:tblPr>
        <w:tblStyle w:val="Table5"/>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38"/>
        <w:gridCol w:w="6478"/>
        <w:tblGridChange w:id="0">
          <w:tblGrid>
            <w:gridCol w:w="2538"/>
            <w:gridCol w:w="647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Financial Indicator</w:t>
            </w:r>
          </w:p>
        </w:tc>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Specific Methodology</w:t>
            </w:r>
          </w:p>
        </w:tc>
      </w:tr>
      <w:tr>
        <w:trPr>
          <w:cantSplit w:val="0"/>
          <w:tblHeader w:val="0"/>
        </w:trPr>
        <w:tc>
          <w:tcPr>
            <w:vAlign w:val="center"/>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1</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Operating Margin</w:t>
            </w:r>
          </w:p>
        </w:tc>
        <w:tc>
          <w:tcPr/>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elements used to calculate the Operating Margin should be shown on the face of the Income Statement in a standard set of financial statements.</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Figures for Operating Profit and Revenue should exclude the entity’s share of the results of any joint ventures or Associates.</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an entity has an operating loss (i.e. where the operating profit is negative), Operating Profit should be taken to be zero.</w:t>
            </w:r>
          </w:p>
        </w:tc>
      </w:tr>
      <w:tr>
        <w:trPr>
          <w:cantSplit w:val="0"/>
          <w:tblHeader w:val="0"/>
        </w:trPr>
        <w:tc>
          <w:tcPr/>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2</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Free Cash Flow to Net Debt Ratio</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Net Debt to EBITDA Ratio</w:t>
            </w:r>
          </w:p>
        </w:tc>
        <w:tc>
          <w:tcPr/>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bCs w:val="1"/>
                <w:i w:val="1"/>
                <w:iCs w:val="1"/>
                <w:smallCaps w:val="0"/>
                <w:strike w:val="0"/>
                <w:color w:val="000000"/>
                <w:sz w:val="24"/>
                <w:szCs w:val="24"/>
                <w:u w:val="none"/>
                <w:shd w:fill="auto" w:val="clear"/>
                <w:vertAlign w:val="baseline"/>
                <w:rtl w:val="0"/>
              </w:rPr>
              <w:t xml:space="preserve">Free Cash Flow</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 Net Cash Flow from Operating Activities – Capital Expenditure</w:t>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bCs w:val="1"/>
                <w:i w:val="1"/>
                <w:iCs w:val="1"/>
                <w:smallCaps w:val="0"/>
                <w:strike w:val="0"/>
                <w:color w:val="000000"/>
                <w:sz w:val="24"/>
                <w:szCs w:val="24"/>
                <w:u w:val="none"/>
                <w:shd w:fill="auto" w:val="clear"/>
                <w:vertAlign w:val="baseline"/>
                <w:rtl w:val="0"/>
              </w:rPr>
              <w:t xml:space="preserve">Capital Expenditure</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 Purchase of property, plant &amp; equipment + purchase of intangible assets</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bCs w:val="1"/>
                <w:i w:val="1"/>
                <w:iCs w:val="1"/>
                <w:smallCaps w:val="0"/>
                <w:strike w:val="0"/>
                <w:color w:val="000000"/>
                <w:sz w:val="24"/>
                <w:szCs w:val="24"/>
                <w:u w:val="none"/>
                <w:shd w:fill="auto" w:val="clear"/>
                <w:vertAlign w:val="baseline"/>
                <w:rtl w:val="0"/>
              </w:rPr>
              <w:t xml:space="preserve">Net Debt</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majority of the elements used to calculate the Free Cash Flow to Net Debt Ratio should be shown on the face of the Statement of Cash Flows and the Balance Sheet in a standard set of financial statements.</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single"/>
                <w:shd w:fill="auto" w:val="clear"/>
                <w:vertAlign w:val="baseline"/>
                <w:rtl w:val="0"/>
              </w:rPr>
              <w:t xml:space="preserve">Net Cash Flow from Operating Activities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This should be stated after deduction of interest and tax paid.</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single"/>
                <w:shd w:fill="auto" w:val="clear"/>
                <w:vertAlign w:val="baseline"/>
                <w:rtl w:val="0"/>
              </w:rPr>
              <w:t xml:space="preserve">Capital expenditure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single"/>
                <w:shd w:fill="auto" w:val="clear"/>
                <w:vertAlign w:val="baseline"/>
                <w:rtl w:val="0"/>
              </w:rPr>
              <w:t xml:space="preserve">Net Debt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Deferred consideration payable should be included in Net Debt despite typically being non-interest bearing.</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Cash and cash equivalents should include short-term financial investments shown in current assets.</w:t>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Net debt is negative (i.e. an entity has net cash), the relevant Financial Target Threshold should be treated as having been met.</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bCs w:val="1"/>
                <w:i w:val="1"/>
                <w:iCs w:val="1"/>
                <w:smallCaps w:val="0"/>
                <w:strike w:val="0"/>
                <w:color w:val="000000"/>
                <w:sz w:val="24"/>
                <w:szCs w:val="24"/>
                <w:u w:val="none"/>
                <w:shd w:fill="auto" w:val="clear"/>
                <w:vertAlign w:val="baseline"/>
                <w:rtl w:val="0"/>
              </w:rPr>
              <w:t xml:space="preserve">Net Debt</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bCs w:val="1"/>
                <w:i w:val="1"/>
                <w:iCs w:val="1"/>
                <w:smallCaps w:val="0"/>
                <w:strike w:val="0"/>
                <w:color w:val="000000"/>
                <w:sz w:val="24"/>
                <w:szCs w:val="24"/>
                <w:u w:val="none"/>
                <w:shd w:fill="auto" w:val="clear"/>
                <w:vertAlign w:val="baseline"/>
                <w:rtl w:val="0"/>
              </w:rPr>
              <w:t xml:space="preserve">EBITDA</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 Operating profit + Depreciation charge + Amortisation charge</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single"/>
                <w:shd w:fill="auto" w:val="clear"/>
                <w:vertAlign w:val="baseline"/>
                <w:rtl w:val="0"/>
              </w:rPr>
              <w:t xml:space="preserve">Net Debt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Deferred consideration payable should be included in Net Debt despite typically being non-interest bearing.</w:t>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Cash and cash equivalents should include short-term financial investments shown in current assets.</w:t>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Net debt is negative (i.e. an entity has net cash), the relevant Financial Target Threshold should be treated as having been met. </w:t>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bookmarkStart w:colFirst="0" w:colLast="0" w:name="_dy4bg4bbtgw2" w:id="34"/>
            <w:bookmarkEnd w:id="34"/>
            <w:r w:rsidDel="00000000" w:rsidR="00000000" w:rsidRPr="00000000">
              <w:rPr>
                <w:rFonts w:ascii="Arial" w:cs="Arial" w:eastAsia="Arial" w:hAnsi="Arial"/>
                <w:b w:val="0"/>
                <w:bCs w:val="0"/>
                <w:i w:val="1"/>
                <w:iCs w:val="1"/>
                <w:smallCaps w:val="0"/>
                <w:strike w:val="0"/>
                <w:color w:val="000000"/>
                <w:sz w:val="24"/>
                <w:szCs w:val="24"/>
                <w:u w:val="single"/>
                <w:shd w:fill="auto" w:val="clear"/>
                <w:vertAlign w:val="baseline"/>
                <w:rtl w:val="0"/>
              </w:rPr>
              <w:t xml:space="preserve">EBITDA</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Operating profit should be shown on the face of the Income Statement and, for the purposes of calculating this Financial Indicator, should include the entity’s share of the results of any joint ventures or Associates.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p>
        </w:tc>
      </w:tr>
      <w:tr>
        <w:trPr>
          <w:cantSplit w:val="0"/>
          <w:tblHeader w:val="0"/>
        </w:trPr>
        <w:tc>
          <w:tcPr/>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3</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Net Debt + Net  Pension Deficit to EBITDA ratio</w:t>
            </w:r>
          </w:p>
        </w:tc>
        <w:tc>
          <w:tcPr/>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bCs w:val="1"/>
                <w:i w:val="1"/>
                <w:iCs w:val="1"/>
                <w:smallCaps w:val="0"/>
                <w:strike w:val="0"/>
                <w:color w:val="000000"/>
                <w:sz w:val="24"/>
                <w:szCs w:val="24"/>
                <w:u w:val="none"/>
                <w:shd w:fill="auto" w:val="clear"/>
                <w:vertAlign w:val="baseline"/>
                <w:rtl w:val="0"/>
              </w:rPr>
              <w:t xml:space="preserve">Net Debt</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bCs w:val="1"/>
                <w:i w:val="1"/>
                <w:iCs w:val="1"/>
                <w:smallCaps w:val="0"/>
                <w:strike w:val="0"/>
                <w:color w:val="000000"/>
                <w:sz w:val="24"/>
                <w:szCs w:val="24"/>
                <w:u w:val="none"/>
                <w:shd w:fill="auto" w:val="clear"/>
                <w:vertAlign w:val="baseline"/>
                <w:rtl w:val="0"/>
              </w:rPr>
              <w:t xml:space="preserve">Net Pension Deficit</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 Retirement Benefit Obligations – Retirement Benefit Assets</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bCs w:val="1"/>
                <w:i w:val="1"/>
                <w:iCs w:val="1"/>
                <w:smallCaps w:val="0"/>
                <w:strike w:val="0"/>
                <w:color w:val="000000"/>
                <w:sz w:val="24"/>
                <w:szCs w:val="24"/>
                <w:u w:val="none"/>
                <w:shd w:fill="auto" w:val="clear"/>
                <w:vertAlign w:val="baseline"/>
                <w:rtl w:val="0"/>
              </w:rPr>
              <w:t xml:space="preserve">EBITDA</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 Operating profit + Depreciation charge + Amortisation charge</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single"/>
                <w:shd w:fill="auto" w:val="clear"/>
                <w:vertAlign w:val="baseline"/>
                <w:rtl w:val="0"/>
              </w:rPr>
              <w:t xml:space="preserve">Net Debt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not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non-designated hedges). Borrowings should also include balances owed to other group members.</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Deferred consideration payable should be included in Net Debt despite typically being non-interest bearing.</w:t>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Cash and cash equivalents should include short-term financial investments shown in current assets.</w:t>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single"/>
                <w:shd w:fill="auto" w:val="clear"/>
                <w:vertAlign w:val="baseline"/>
                <w:rtl w:val="0"/>
              </w:rPr>
              <w:t xml:space="preserve">Net Pension Deficit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‘Net Debt + Net Pension Deficit’ is negative, the relevant Financial Target Threshold should be treated as having been met.</w:t>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single"/>
                <w:shd w:fill="auto" w:val="clear"/>
                <w:vertAlign w:val="baseline"/>
                <w:rtl w:val="0"/>
              </w:rPr>
              <w:t xml:space="preserve">EBITDA</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Operating profit should be shown on the face of the Income Statement and, for the purposes of calculating this Financial Indicator, should include the entity’s share of the results of any joint ventures or Associates.</w:t>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ayq3zuv9a513" w:id="35"/>
            <w:bookmarkEnd w:id="3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depreciation and amortisation charges for the period may be found on the face of the Statement of Cash Flows or in a Note to the Accounts. </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EBITDA is negative, the relevant Financial Target Threshold should be treated as not having been met (unless ‘Net Debt + Net Pension Deficit’ is also negative, in which case the relevant Financial Target Threshold should be regarded as having been met).</w:t>
            </w:r>
          </w:p>
        </w:tc>
      </w:tr>
      <w:tr>
        <w:trPr>
          <w:cantSplit w:val="0"/>
          <w:tblHeader w:val="0"/>
        </w:trPr>
        <w:tc>
          <w:tcPr>
            <w:vAlign w:val="center"/>
          </w:tcPr>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4</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Net Interest Paid Cover</w:t>
            </w:r>
          </w:p>
        </w:tc>
        <w:tc>
          <w:tcPr/>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bCs w:val="1"/>
                <w:i w:val="1"/>
                <w:iCs w:val="1"/>
                <w:smallCaps w:val="0"/>
                <w:strike w:val="0"/>
                <w:color w:val="000000"/>
                <w:sz w:val="24"/>
                <w:szCs w:val="24"/>
                <w:u w:val="none"/>
                <w:shd w:fill="auto" w:val="clear"/>
                <w:vertAlign w:val="baseline"/>
                <w:rtl w:val="0"/>
              </w:rPr>
              <w:t xml:space="preserve">Earnings Before Interest and Tax</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 Operating profit</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bCs w:val="1"/>
                <w:i w:val="1"/>
                <w:iCs w:val="1"/>
                <w:smallCaps w:val="0"/>
                <w:strike w:val="0"/>
                <w:color w:val="000000"/>
                <w:sz w:val="24"/>
                <w:szCs w:val="24"/>
                <w:u w:val="none"/>
                <w:shd w:fill="auto" w:val="clear"/>
                <w:vertAlign w:val="baseline"/>
                <w:rtl w:val="0"/>
              </w:rPr>
              <w:t xml:space="preserve">Net Interest Paid</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 Interest paid – Interest received</w:t>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Operating profit should be shown on the face of the Income Statement in a standard set of financial statements and, for the purposes of calculating this Financial Indicator, should include the entity’s share of the results of any joint ventures or Associates.</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Interest received and interest paid should be shown on the face of the Cash Flow statement.</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Net interest paid is negative (i.e. the entity has net interest received), the relevant Financial Target Threshold should be treated as having been met.</w:t>
            </w:r>
          </w:p>
        </w:tc>
      </w:tr>
      <w:tr>
        <w:trPr>
          <w:cantSplit w:val="0"/>
          <w:tblHeader w:val="0"/>
        </w:trPr>
        <w:tc>
          <w:tcPr>
            <w:vAlign w:val="center"/>
          </w:tcPr>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5</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Acid Ratio</w:t>
            </w:r>
          </w:p>
        </w:tc>
        <w:tc>
          <w:tcPr/>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elements that are used to calculate the Acid Ratio are available on the face of the Balance Sheet in a standard set of financial statements.</w:t>
            </w:r>
          </w:p>
        </w:tc>
      </w:tr>
      <w:tr>
        <w:trPr>
          <w:cantSplit w:val="0"/>
          <w:tblHeader w:val="0"/>
        </w:trPr>
        <w:tc>
          <w:tcPr>
            <w:vAlign w:val="center"/>
          </w:tcPr>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6</w:t>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Net Asset value</w:t>
            </w:r>
          </w:p>
        </w:tc>
        <w:tc>
          <w:tcPr/>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trPr>
          <w:cantSplit w:val="0"/>
          <w:tblHeader w:val="0"/>
        </w:trPr>
        <w:tc>
          <w:tcPr>
            <w:vAlign w:val="center"/>
          </w:tcPr>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7</w:t>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Group Exposure Ratio</w:t>
            </w:r>
          </w:p>
        </w:tc>
        <w:tc>
          <w:tcPr/>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bCs w:val="1"/>
                <w:i w:val="1"/>
                <w:iCs w:val="1"/>
                <w:smallCaps w:val="0"/>
                <w:strike w:val="0"/>
                <w:color w:val="000000"/>
                <w:sz w:val="24"/>
                <w:szCs w:val="24"/>
                <w:u w:val="none"/>
                <w:shd w:fill="auto" w:val="clear"/>
                <w:vertAlign w:val="baseline"/>
                <w:rtl w:val="0"/>
              </w:rPr>
              <w:t xml:space="preserve">Group Exposure</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 Balances owed by Group Undertakings + Contingent liabilities assumed in support of Group Undertakings</w:t>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bCs w:val="1"/>
                <w:i w:val="1"/>
                <w:iCs w:val="1"/>
                <w:smallCaps w:val="0"/>
                <w:strike w:val="0"/>
                <w:color w:val="000000"/>
                <w:sz w:val="24"/>
                <w:szCs w:val="24"/>
                <w:u w:val="none"/>
                <w:shd w:fill="auto" w:val="clear"/>
                <w:vertAlign w:val="baseline"/>
                <w:rtl w:val="0"/>
              </w:rPr>
              <w:t xml:space="preserve">Gross Assets</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 Fixed Assets + Current Assets</w:t>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single"/>
                <w:shd w:fill="auto" w:val="clear"/>
                <w:vertAlign w:val="baseline"/>
                <w:rtl w:val="0"/>
              </w:rPr>
              <w:t xml:space="preserve">Group Exposure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many cases an entity may not have assumed any contingent liabilities in support of Group Undertakings, in particular where an entity is not a member of a group or is itself the ultimate holding company of the group.</w:t>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single"/>
                <w:shd w:fill="auto" w:val="clear"/>
                <w:vertAlign w:val="baseline"/>
                <w:rtl w:val="0"/>
              </w:rPr>
              <w:t xml:space="preserve">Gross Assets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Both Fixed assets and Current assets are shown on the face of the Balance Sheet</w:t>
            </w:r>
          </w:p>
        </w:tc>
      </w:tr>
    </w:tbl>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36"/>
          <w:szCs w:val="36"/>
          <w:u w:val="none"/>
          <w:shd w:fill="auto" w:val="clear"/>
          <w:vertAlign w:val="baseline"/>
        </w:rPr>
      </w:pPr>
      <w:bookmarkStart w:colFirst="0" w:colLast="0" w:name="_h1ti9dopxn3o" w:id="36"/>
      <w:bookmarkEnd w:id="36"/>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Annex 4: Board Confirmation</w:t>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Supplier Name:</w:t>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Contract Reference Number:</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q9jw3n55ggz" w:id="37"/>
      <w:bookmarkEnd w:id="37"/>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Board of Directors acknowledge the requirements set out at paragraph 8 of Joint Schedule 7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Financial Distress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and confirm that the Supplier has exercised due care and diligence and made reasonable enquiry of all relevant Supplier Staff and other persons as is reasonably necessary to enable the Board to prepare this statement.</w:t>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Board of Directors confirms, to the best of its knowledge and belief, that as at the date of this Board Confirmation it is not aware of and has no knowledge:</w:t>
      </w:r>
    </w:p>
    <w:p w:rsidR="00000000" w:rsidDel="00000000" w:rsidP="00000000" w:rsidRDefault="00000000" w:rsidRPr="00000000" w14:paraId="0000012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720"/>
          <w:tab w:val="left" w:leader="none" w:pos="1803"/>
        </w:tabs>
        <w:spacing w:after="120" w:before="120" w:line="240" w:lineRule="auto"/>
        <w:ind w:left="1803" w:right="0" w:hanging="1083"/>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that a Financial Distress Event has occurred since the later of the previous Board Confirmation and the Effective Date or is subsisting; or</w:t>
      </w:r>
    </w:p>
    <w:p w:rsidR="00000000" w:rsidDel="00000000" w:rsidP="00000000" w:rsidRDefault="00000000" w:rsidRPr="00000000" w14:paraId="0000012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720"/>
          <w:tab w:val="left" w:leader="none" w:pos="1803"/>
        </w:tabs>
        <w:spacing w:after="120" w:before="120" w:line="240" w:lineRule="auto"/>
        <w:ind w:left="1803" w:right="0" w:hanging="1083"/>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of any matters which have occurred or are subsisting that could reasonably be expected to cause a Financial Distress Event</w:t>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On behalf of the Board of Directors:</w:t>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803"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Chair</w:t>
        <w:tab/>
        <w:tab/>
        <w:t xml:space="preserve">…………………………………</w:t>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803"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Signed</w:t>
        <w:tab/>
        <w:tab/>
        <w:t xml:space="preserve">…………………………………</w:t>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803"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Date</w:t>
        <w:tab/>
        <w:tab/>
        <w:t xml:space="preserve">…………………………………</w:t>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803"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Director</w:t>
        <w:tab/>
        <w:tab/>
        <w:t xml:space="preserve">…………………………………</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803"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Signed</w:t>
        <w:tab/>
        <w:tab/>
        <w:t xml:space="preserve">…………………………………</w:t>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803"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Date</w:t>
        <w:tab/>
        <w:tab/>
        <w:t xml:space="preserve">…………………………………</w:t>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alpcupwsgmx" w:id="38"/>
      <w:bookmarkEnd w:id="38"/>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Framework Ref: RM6347</w:t>
      <w:tab/>
      <w:t xml:space="preserve">                                           </w:t>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Project Version: v1.1</w:t>
      <w:tab/>
      <w:tab/>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 Version: v1.0 PA</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bfbfbf"/>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bfbfbf"/>
        <w:sz w:val="24"/>
        <w:szCs w:val="24"/>
        <w:u w:val="none"/>
        <w:shd w:fill="auto" w:val="clear"/>
        <w:vertAlign w:val="baseline"/>
        <w:rtl w:val="0"/>
      </w:rPr>
      <w:t xml:space="preserve">Framework Ref: RM</w:t>
      <w:tab/>
      <w:t xml:space="preserve">                                           </w:t>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bfbfbf"/>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bfbfbf"/>
        <w:sz w:val="24"/>
        <w:szCs w:val="24"/>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bCs w:val="0"/>
        <w:i w:val="0"/>
        <w:iCs w:val="0"/>
        <w:smallCaps w:val="0"/>
        <w:strike w:val="0"/>
        <w:color w:val="bfbfbf"/>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bfbfbf"/>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bfbfbf"/>
        <w:sz w:val="24"/>
        <w:szCs w:val="24"/>
        <w:u w:val="none"/>
        <w:shd w:fill="auto" w:val="clear"/>
        <w:vertAlign w:val="baseline"/>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Joint Schedule 7 (Financial Difficulties)</w:t>
    </w:r>
    <w:r w:rsidDel="00000000" w:rsidR="00000000" w:rsidRPr="00000000">
      <w:rPr>
        <w:rtl w:val="0"/>
      </w:rPr>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Crown Copyright 2025</w:t>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bullet"/>
      <w:lvlText w:val=""/>
      <w:lvlJc w:val="left"/>
      <w:pPr>
        <w:ind w:left="2523" w:hanging="720"/>
      </w:pPr>
      <w:rPr/>
    </w:lvl>
    <w:lvl w:ilvl="7">
      <w:start w:val="1"/>
      <w:numFmt w:val="bullet"/>
      <w:lvlText w:val=""/>
      <w:lvlJc w:val="left"/>
      <w:pPr>
        <w:ind w:left="2523" w:hanging="720"/>
      </w:pPr>
      <w:rPr/>
    </w:lvl>
    <w:lvl w:ilvl="8">
      <w:start w:val="1"/>
      <w:numFmt w:val="bullet"/>
      <w:lvlText w:val=""/>
      <w:lvlJc w:val="left"/>
      <w:pPr>
        <w:ind w:left="2523" w:hanging="720"/>
      </w:pPr>
      <w:rPr/>
    </w:lvl>
  </w:abstractNum>
  <w:abstractNum w:abstractNumId="2">
    <w:lvl w:ilvl="0">
      <w:start w:val="1"/>
      <w:numFmt w:val="decimal"/>
      <w:lvlText w:val="%1."/>
      <w:lvlJc w:val="left"/>
      <w:pPr>
        <w:ind w:left="360" w:hanging="360"/>
      </w:pPr>
      <w:rPr>
        <w:rFonts w:ascii="Arial" w:cs="Arial" w:eastAsia="Arial" w:hAnsi="Arial"/>
        <w:b w:val="1"/>
        <w:bCs w:val="1"/>
        <w:i w:val="0"/>
        <w:iCs w:val="0"/>
        <w:smallCaps w:val="0"/>
        <w:strike w:val="0"/>
        <w:color w:val="000000"/>
        <w:sz w:val="24"/>
        <w:szCs w:val="24"/>
        <w:u w:val="none"/>
        <w:vertAlign w:val="baseline"/>
      </w:rPr>
    </w:lvl>
    <w:lvl w:ilvl="1">
      <w:start w:val="1"/>
      <w:numFmt w:val="decimal"/>
      <w:lvlText w:val="%1.%2"/>
      <w:lvlJc w:val="left"/>
      <w:pPr>
        <w:ind w:left="644" w:hanging="357"/>
      </w:pPr>
      <w:rPr>
        <w:rFonts w:ascii="Arial" w:cs="Arial" w:eastAsia="Arial" w:hAnsi="Arial"/>
        <w:b w:val="0"/>
        <w:bCs w:val="0"/>
        <w:i w:val="0"/>
        <w:iCs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bCs w:val="0"/>
        <w:i w:val="0"/>
        <w:iCs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bCs w:val="0"/>
        <w:i w:val="0"/>
        <w:iCs w:val="0"/>
        <w:smallCaps w:val="0"/>
        <w:strike w:val="0"/>
        <w:color w:val="000000"/>
        <w:sz w:val="24"/>
        <w:szCs w:val="24"/>
        <w:u w:val="none"/>
        <w:vertAlign w:val="baseline"/>
      </w:rPr>
    </w:lvl>
    <w:lvl w:ilvl="4">
      <w:start w:val="1"/>
      <w:numFmt w:val="lowerRoman"/>
      <w:lvlText w:val="(%5)"/>
      <w:lvlJc w:val="left"/>
      <w:pPr>
        <w:ind w:left="1440" w:hanging="1080"/>
      </w:pPr>
      <w:rPr>
        <w:i w:val="0"/>
        <w:iCs w:val="0"/>
        <w:smallCaps w:val="0"/>
        <w:strike w:val="0"/>
        <w:color w:val="000000"/>
        <w:u w:val="none"/>
        <w:vertAlign w:val="baseline"/>
      </w:rPr>
    </w:lvl>
    <w:lvl w:ilvl="5">
      <w:start w:val="1"/>
      <w:numFmt w:val="upperLetter"/>
      <w:lvlText w:val="(%6)"/>
      <w:lvlJc w:val="left"/>
      <w:pPr>
        <w:ind w:left="1440" w:hanging="1080"/>
      </w:pPr>
      <w:rPr>
        <w:i w:val="0"/>
        <w:iCs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
      </w:rPr>
    </w:rPrDefault>
    <w:pPrDefault>
      <w:pPr>
        <w:spacing w:after="240"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both"/>
    </w:pPr>
    <w:rPr>
      <w:rFonts w:ascii="Arial" w:cs="Arial" w:eastAsia="Arial" w:hAnsi="Arial"/>
      <w:b w:val="1"/>
      <w:bCs w:val="1"/>
      <w:i w:val="0"/>
      <w:iCs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both"/>
    </w:pPr>
    <w:rPr>
      <w:rFonts w:ascii="Arial" w:cs="Arial" w:eastAsia="Arial" w:hAnsi="Arial"/>
      <w:b w:val="1"/>
      <w:bCs w:val="1"/>
      <w:i w:val="0"/>
      <w:iCs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both"/>
    </w:pPr>
    <w:rPr>
      <w:rFonts w:ascii="Arial" w:cs="Arial" w:eastAsia="Arial" w:hAnsi="Arial"/>
      <w:b w:val="1"/>
      <w:bCs w:val="1"/>
      <w:i w:val="0"/>
      <w:iCs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both"/>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both"/>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both"/>
    </w:pPr>
    <w:rPr>
      <w:rFonts w:ascii="Arial" w:cs="Arial" w:eastAsia="Arial" w:hAnsi="Arial"/>
      <w:b w:val="1"/>
      <w:bCs w:val="1"/>
      <w:i w:val="0"/>
      <w:iCs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both"/>
    </w:pPr>
    <w:rPr>
      <w:rFonts w:ascii="Arial" w:cs="Arial" w:eastAsia="Arial" w:hAnsi="Arial"/>
      <w:b w:val="1"/>
      <w:bCs w:val="1"/>
      <w:i w:val="0"/>
      <w:iCs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both"/>
    </w:pPr>
    <w:rPr>
      <w:rFonts w:ascii="Georgia" w:cs="Georgia" w:eastAsia="Georgia" w:hAnsi="Georgia"/>
      <w:b w:val="0"/>
      <w:bCs w:val="0"/>
      <w:i w:val="1"/>
      <w:iCs w:val="1"/>
      <w:smallCaps w:val="0"/>
      <w:strike w:val="0"/>
      <w:color w:val="666666"/>
      <w:sz w:val="48"/>
      <w:szCs w:val="48"/>
      <w:u w:val="none"/>
      <w:shd w:fill="auto" w:val="clear"/>
      <w:vertAlign w:val="baseline"/>
    </w:rPr>
  </w:style>
  <w:style w:type="table" w:styleId="Table1">
    <w:basedOn w:val="TableNormal"/>
    <w:pPr>
      <w:spacing w:after="0" w:lineRule="auto"/>
    </w:pPr>
    <w:rPr>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0" w:lineRule="auto"/>
    </w:pPr>
    <w:rPr>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Rule="auto"/>
    </w:pPr>
    <w:rPr>
      <w:sz w:val="20"/>
      <w:szCs w:val="20"/>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pPr>
      <w:spacing w:after="0" w:lineRule="auto"/>
    </w:pPr>
    <w:rPr>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yperlink" Target="https://www.gov.uk/government/publications/strategic-suppliers" TargetMode="Externa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0x010100D917CB7B15B2604192F9A6A01BB658E6</vt:lpwstr>
  </property>
  <property fmtid="{D5CDD505-2E9C-101B-9397-08002B2CF9AE}" pid="3" name="gCurrentVersion">
    <vt:lpwstr>17 November 2017 D1V5</vt:lpwstr>
  </property>
</Properties>
</file>